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F15" w:rsidRPr="00A97B3A" w:rsidRDefault="00972F15" w:rsidP="00A97B3A">
      <w:pPr>
        <w:spacing w:after="0" w:line="336" w:lineRule="auto"/>
        <w:ind w:right="477"/>
        <w:jc w:val="center"/>
        <w:rPr>
          <w:rFonts w:ascii="Times New Roman" w:hAnsi="Times New Roman" w:cs="Times New Roman"/>
          <w:b/>
          <w:color w:val="000000"/>
          <w:sz w:val="28"/>
          <w:szCs w:val="28"/>
        </w:rPr>
      </w:pPr>
      <w:r w:rsidRPr="00A97B3A">
        <w:rPr>
          <w:rFonts w:ascii="Times New Roman" w:hAnsi="Times New Roman" w:cs="Times New Roman"/>
          <w:b/>
          <w:color w:val="000000"/>
          <w:sz w:val="28"/>
          <w:szCs w:val="28"/>
        </w:rPr>
        <w:t>PHỤ LỤC 2: CÁC HƯỚNG DẪN VỀ THANH TOÁN VÀ CÁCH TÍNH THUẾ TNCN</w:t>
      </w:r>
    </w:p>
    <w:p w:rsidR="00972F15" w:rsidRPr="009164F1" w:rsidRDefault="00972F15" w:rsidP="00A97B3A">
      <w:pPr>
        <w:pStyle w:val="ListParagraph"/>
        <w:numPr>
          <w:ilvl w:val="0"/>
          <w:numId w:val="3"/>
        </w:numPr>
        <w:spacing w:before="120" w:after="120"/>
        <w:ind w:left="567" w:right="-43" w:hanging="297"/>
        <w:contextualSpacing w:val="0"/>
        <w:jc w:val="both"/>
        <w:rPr>
          <w:rFonts w:ascii="Times New Roman" w:hAnsi="Times New Roman" w:cs="Times New Roman"/>
          <w:b/>
          <w:sz w:val="26"/>
          <w:szCs w:val="26"/>
          <w:lang w:val="nl-NL"/>
        </w:rPr>
      </w:pPr>
      <w:r w:rsidRPr="009164F1">
        <w:rPr>
          <w:rFonts w:ascii="Times New Roman" w:hAnsi="Times New Roman" w:cs="Times New Roman"/>
          <w:b/>
          <w:sz w:val="26"/>
          <w:szCs w:val="26"/>
          <w:lang w:val="nl-NL"/>
        </w:rPr>
        <w:t>Các hướng dẫn về chứng từ thanh toán liên quan đến TNCN</w:t>
      </w:r>
    </w:p>
    <w:p w:rsidR="00972F15" w:rsidRPr="00FE311B" w:rsidRDefault="00972F15" w:rsidP="00A97B3A">
      <w:pPr>
        <w:pStyle w:val="ListParagraph"/>
        <w:numPr>
          <w:ilvl w:val="0"/>
          <w:numId w:val="1"/>
        </w:numPr>
        <w:spacing w:before="120" w:after="120"/>
        <w:ind w:left="0" w:right="-43"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 xml:space="preserve">Chứng từ thanh toán có liên quan đến TNCN của CBVC và các cá nhân khác nhận thu nhập tại trường phải được </w:t>
      </w:r>
      <w:r>
        <w:rPr>
          <w:rFonts w:ascii="Times New Roman" w:hAnsi="Times New Roman" w:cs="Times New Roman"/>
          <w:sz w:val="26"/>
          <w:szCs w:val="26"/>
          <w:lang w:val="nl-NL"/>
        </w:rPr>
        <w:t>kh</w:t>
      </w:r>
      <w:r w:rsidRPr="00FB6804">
        <w:rPr>
          <w:rFonts w:ascii="Times New Roman" w:hAnsi="Times New Roman" w:cs="Times New Roman"/>
          <w:sz w:val="26"/>
          <w:szCs w:val="26"/>
          <w:lang w:val="nl-NL"/>
        </w:rPr>
        <w:t>ấu</w:t>
      </w:r>
      <w:r>
        <w:rPr>
          <w:rFonts w:ascii="Times New Roman" w:hAnsi="Times New Roman" w:cs="Times New Roman"/>
          <w:sz w:val="26"/>
          <w:szCs w:val="26"/>
          <w:lang w:val="nl-NL"/>
        </w:rPr>
        <w:t xml:space="preserve"> </w:t>
      </w:r>
      <w:r w:rsidRPr="00FE311B">
        <w:rPr>
          <w:rFonts w:ascii="Times New Roman" w:hAnsi="Times New Roman" w:cs="Times New Roman"/>
          <w:sz w:val="26"/>
          <w:szCs w:val="26"/>
          <w:lang w:val="nl-NL"/>
        </w:rPr>
        <w:t xml:space="preserve">trừ thuế TNCN 10% </w:t>
      </w:r>
      <w:r w:rsidRPr="00FE1D0F">
        <w:rPr>
          <w:rFonts w:ascii="Times New Roman" w:hAnsi="Times New Roman" w:cs="Times New Roman"/>
          <w:sz w:val="26"/>
          <w:szCs w:val="26"/>
          <w:lang w:val="nl-NL"/>
        </w:rPr>
        <w:t>đối</w:t>
      </w:r>
      <w:r>
        <w:rPr>
          <w:rFonts w:ascii="Times New Roman" w:hAnsi="Times New Roman" w:cs="Times New Roman"/>
          <w:sz w:val="26"/>
          <w:szCs w:val="26"/>
          <w:lang w:val="nl-NL"/>
        </w:rPr>
        <w:t xml:space="preserve"> v</w:t>
      </w:r>
      <w:r w:rsidRPr="00FE1D0F">
        <w:rPr>
          <w:rFonts w:ascii="Times New Roman" w:hAnsi="Times New Roman" w:cs="Times New Roman"/>
          <w:sz w:val="26"/>
          <w:szCs w:val="26"/>
          <w:lang w:val="nl-NL"/>
        </w:rPr>
        <w:t>ới</w:t>
      </w:r>
      <w:r>
        <w:rPr>
          <w:rFonts w:ascii="Times New Roman" w:hAnsi="Times New Roman" w:cs="Times New Roman"/>
          <w:sz w:val="26"/>
          <w:szCs w:val="26"/>
          <w:lang w:val="nl-NL"/>
        </w:rPr>
        <w:t xml:space="preserve"> c</w:t>
      </w:r>
      <w:r w:rsidRPr="00FE1D0F">
        <w:rPr>
          <w:rFonts w:ascii="Times New Roman" w:hAnsi="Times New Roman" w:cs="Times New Roman"/>
          <w:sz w:val="26"/>
          <w:szCs w:val="26"/>
          <w:lang w:val="nl-NL"/>
        </w:rPr>
        <w:t>á</w:t>
      </w:r>
      <w:r>
        <w:rPr>
          <w:rFonts w:ascii="Times New Roman" w:hAnsi="Times New Roman" w:cs="Times New Roman"/>
          <w:sz w:val="26"/>
          <w:szCs w:val="26"/>
          <w:lang w:val="nl-NL"/>
        </w:rPr>
        <w:t xml:space="preserve"> nh</w:t>
      </w:r>
      <w:r w:rsidRPr="00FE1D0F">
        <w:rPr>
          <w:rFonts w:ascii="Times New Roman" w:hAnsi="Times New Roman" w:cs="Times New Roman"/>
          <w:sz w:val="26"/>
          <w:szCs w:val="26"/>
          <w:lang w:val="nl-NL"/>
        </w:rPr>
        <w:t>ân</w:t>
      </w:r>
      <w:r>
        <w:rPr>
          <w:rFonts w:ascii="Times New Roman" w:hAnsi="Times New Roman" w:cs="Times New Roman"/>
          <w:sz w:val="26"/>
          <w:szCs w:val="26"/>
          <w:lang w:val="nl-NL"/>
        </w:rPr>
        <w:t xml:space="preserve"> c</w:t>
      </w:r>
      <w:r w:rsidRPr="00FE1D0F">
        <w:rPr>
          <w:rFonts w:ascii="Times New Roman" w:hAnsi="Times New Roman" w:cs="Times New Roman"/>
          <w:sz w:val="26"/>
          <w:szCs w:val="26"/>
          <w:lang w:val="nl-NL"/>
        </w:rPr>
        <w:t>ư</w:t>
      </w:r>
      <w:r>
        <w:rPr>
          <w:rFonts w:ascii="Times New Roman" w:hAnsi="Times New Roman" w:cs="Times New Roman"/>
          <w:sz w:val="26"/>
          <w:szCs w:val="26"/>
          <w:lang w:val="nl-NL"/>
        </w:rPr>
        <w:t xml:space="preserve"> tr</w:t>
      </w:r>
      <w:r w:rsidRPr="00FE1D0F">
        <w:rPr>
          <w:rFonts w:ascii="Times New Roman" w:hAnsi="Times New Roman" w:cs="Times New Roman"/>
          <w:sz w:val="26"/>
          <w:szCs w:val="26"/>
          <w:lang w:val="nl-NL"/>
        </w:rPr>
        <w:t>ú</w:t>
      </w:r>
      <w:r>
        <w:rPr>
          <w:rFonts w:ascii="Times New Roman" w:hAnsi="Times New Roman" w:cs="Times New Roman"/>
          <w:sz w:val="26"/>
          <w:szCs w:val="26"/>
          <w:lang w:val="nl-NL"/>
        </w:rPr>
        <w:t xml:space="preserve"> v</w:t>
      </w:r>
      <w:r w:rsidRPr="00FE1D0F">
        <w:rPr>
          <w:rFonts w:ascii="Times New Roman" w:hAnsi="Times New Roman" w:cs="Times New Roman"/>
          <w:sz w:val="26"/>
          <w:szCs w:val="26"/>
          <w:lang w:val="nl-NL"/>
        </w:rPr>
        <w:t>à</w:t>
      </w:r>
      <w:r>
        <w:rPr>
          <w:rFonts w:ascii="Times New Roman" w:hAnsi="Times New Roman" w:cs="Times New Roman"/>
          <w:sz w:val="26"/>
          <w:szCs w:val="26"/>
          <w:lang w:val="nl-NL"/>
        </w:rPr>
        <w:t xml:space="preserve"> 20% </w:t>
      </w:r>
      <w:r w:rsidRPr="00FE1D0F">
        <w:rPr>
          <w:rFonts w:ascii="Times New Roman" w:hAnsi="Times New Roman" w:cs="Times New Roman"/>
          <w:sz w:val="26"/>
          <w:szCs w:val="26"/>
          <w:lang w:val="nl-NL"/>
        </w:rPr>
        <w:t>đối</w:t>
      </w:r>
      <w:r>
        <w:rPr>
          <w:rFonts w:ascii="Times New Roman" w:hAnsi="Times New Roman" w:cs="Times New Roman"/>
          <w:sz w:val="26"/>
          <w:szCs w:val="26"/>
          <w:lang w:val="nl-NL"/>
        </w:rPr>
        <w:t xml:space="preserve"> v</w:t>
      </w:r>
      <w:r w:rsidRPr="00FE1D0F">
        <w:rPr>
          <w:rFonts w:ascii="Times New Roman" w:hAnsi="Times New Roman" w:cs="Times New Roman"/>
          <w:sz w:val="26"/>
          <w:szCs w:val="26"/>
          <w:lang w:val="nl-NL"/>
        </w:rPr>
        <w:t>ới</w:t>
      </w:r>
      <w:r>
        <w:rPr>
          <w:rFonts w:ascii="Times New Roman" w:hAnsi="Times New Roman" w:cs="Times New Roman"/>
          <w:sz w:val="26"/>
          <w:szCs w:val="26"/>
          <w:lang w:val="nl-NL"/>
        </w:rPr>
        <w:t xml:space="preserve"> c</w:t>
      </w:r>
      <w:r w:rsidRPr="00FE1D0F">
        <w:rPr>
          <w:rFonts w:ascii="Times New Roman" w:hAnsi="Times New Roman" w:cs="Times New Roman"/>
          <w:sz w:val="26"/>
          <w:szCs w:val="26"/>
          <w:lang w:val="nl-NL"/>
        </w:rPr>
        <w:t>á</w:t>
      </w:r>
      <w:r>
        <w:rPr>
          <w:rFonts w:ascii="Times New Roman" w:hAnsi="Times New Roman" w:cs="Times New Roman"/>
          <w:sz w:val="26"/>
          <w:szCs w:val="26"/>
          <w:lang w:val="nl-NL"/>
        </w:rPr>
        <w:t xml:space="preserve"> nh</w:t>
      </w:r>
      <w:r w:rsidRPr="00FE1D0F">
        <w:rPr>
          <w:rFonts w:ascii="Times New Roman" w:hAnsi="Times New Roman" w:cs="Times New Roman"/>
          <w:sz w:val="26"/>
          <w:szCs w:val="26"/>
          <w:lang w:val="nl-NL"/>
        </w:rPr>
        <w:t>ân</w:t>
      </w:r>
      <w:r>
        <w:rPr>
          <w:rFonts w:ascii="Times New Roman" w:hAnsi="Times New Roman" w:cs="Times New Roman"/>
          <w:sz w:val="26"/>
          <w:szCs w:val="26"/>
          <w:lang w:val="nl-NL"/>
        </w:rPr>
        <w:t xml:space="preserve"> kh</w:t>
      </w:r>
      <w:r w:rsidRPr="00FE1D0F">
        <w:rPr>
          <w:rFonts w:ascii="Times New Roman" w:hAnsi="Times New Roman" w:cs="Times New Roman"/>
          <w:sz w:val="26"/>
          <w:szCs w:val="26"/>
          <w:lang w:val="nl-NL"/>
        </w:rPr>
        <w:t>ô</w:t>
      </w:r>
      <w:r>
        <w:rPr>
          <w:rFonts w:ascii="Times New Roman" w:hAnsi="Times New Roman" w:cs="Times New Roman"/>
          <w:sz w:val="26"/>
          <w:szCs w:val="26"/>
          <w:lang w:val="nl-NL"/>
        </w:rPr>
        <w:t>ng c</w:t>
      </w:r>
      <w:r w:rsidRPr="00FE1D0F">
        <w:rPr>
          <w:rFonts w:ascii="Times New Roman" w:hAnsi="Times New Roman" w:cs="Times New Roman"/>
          <w:sz w:val="26"/>
          <w:szCs w:val="26"/>
          <w:lang w:val="nl-NL"/>
        </w:rPr>
        <w:t>ư</w:t>
      </w:r>
      <w:r>
        <w:rPr>
          <w:rFonts w:ascii="Times New Roman" w:hAnsi="Times New Roman" w:cs="Times New Roman"/>
          <w:sz w:val="26"/>
          <w:szCs w:val="26"/>
          <w:lang w:val="nl-NL"/>
        </w:rPr>
        <w:t xml:space="preserve"> tr</w:t>
      </w:r>
      <w:r w:rsidRPr="00FE1D0F">
        <w:rPr>
          <w:rFonts w:ascii="Times New Roman" w:hAnsi="Times New Roman" w:cs="Times New Roman"/>
          <w:sz w:val="26"/>
          <w:szCs w:val="26"/>
          <w:lang w:val="nl-NL"/>
        </w:rPr>
        <w:t>ú</w:t>
      </w:r>
      <w:r>
        <w:rPr>
          <w:rFonts w:ascii="Times New Roman" w:hAnsi="Times New Roman" w:cs="Times New Roman"/>
          <w:sz w:val="26"/>
          <w:szCs w:val="26"/>
          <w:lang w:val="nl-NL"/>
        </w:rPr>
        <w:t xml:space="preserve"> </w:t>
      </w:r>
      <w:r w:rsidRPr="00FE311B">
        <w:rPr>
          <w:rFonts w:ascii="Times New Roman" w:hAnsi="Times New Roman" w:cs="Times New Roman"/>
          <w:sz w:val="26"/>
          <w:szCs w:val="26"/>
          <w:lang w:val="nl-NL"/>
        </w:rPr>
        <w:t xml:space="preserve">cho mỗi </w:t>
      </w:r>
      <w:r>
        <w:rPr>
          <w:rFonts w:ascii="Times New Roman" w:hAnsi="Times New Roman" w:cs="Times New Roman"/>
          <w:sz w:val="26"/>
          <w:szCs w:val="26"/>
          <w:lang w:val="nl-NL"/>
        </w:rPr>
        <w:t>k</w:t>
      </w:r>
      <w:r w:rsidRPr="00FE311B">
        <w:rPr>
          <w:rFonts w:ascii="Times New Roman" w:hAnsi="Times New Roman" w:cs="Times New Roman"/>
          <w:sz w:val="26"/>
          <w:szCs w:val="26"/>
          <w:lang w:val="nl-NL"/>
        </w:rPr>
        <w:t>hoản thu nhậ</w:t>
      </w:r>
      <w:r>
        <w:rPr>
          <w:rFonts w:ascii="Times New Roman" w:hAnsi="Times New Roman" w:cs="Times New Roman"/>
          <w:sz w:val="26"/>
          <w:szCs w:val="26"/>
          <w:lang w:val="nl-NL"/>
        </w:rPr>
        <w:t xml:space="preserve">p &gt;=2.000.000 </w:t>
      </w:r>
      <w:r w:rsidRPr="005F11DD">
        <w:rPr>
          <w:rFonts w:ascii="Times New Roman" w:hAnsi="Times New Roman" w:cs="Times New Roman"/>
          <w:sz w:val="26"/>
          <w:szCs w:val="26"/>
          <w:lang w:val="nl-NL"/>
        </w:rPr>
        <w:t>đồng</w:t>
      </w:r>
      <w:r w:rsidRPr="00FE311B">
        <w:rPr>
          <w:rFonts w:ascii="Times New Roman" w:hAnsi="Times New Roman" w:cs="Times New Roman"/>
          <w:sz w:val="26"/>
          <w:szCs w:val="26"/>
          <w:lang w:val="nl-NL"/>
        </w:rPr>
        <w:t>. Sinh viên đại học chính quy có thu nhập không khấu trừ thuế TNCN.</w:t>
      </w:r>
    </w:p>
    <w:p w:rsidR="00972F15" w:rsidRPr="00FE311B" w:rsidRDefault="00972F15" w:rsidP="00A97B3A">
      <w:pPr>
        <w:pStyle w:val="ListParagraph"/>
        <w:numPr>
          <w:ilvl w:val="0"/>
          <w:numId w:val="1"/>
        </w:numPr>
        <w:spacing w:before="120" w:after="120"/>
        <w:ind w:left="0" w:right="-43"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Mỗi bộ chứng từ thanh toán phải có bảng tổng hợp cộng dồn các Khoản thu nhập của từng cá nhân (đối với các bộ chứng từ có từ 2 bảng ký nhận</w:t>
      </w:r>
      <w:r>
        <w:rPr>
          <w:rFonts w:ascii="Times New Roman" w:hAnsi="Times New Roman" w:cs="Times New Roman"/>
          <w:sz w:val="26"/>
          <w:szCs w:val="26"/>
          <w:lang w:val="nl-NL"/>
        </w:rPr>
        <w:t xml:space="preserve"> tr</w:t>
      </w:r>
      <w:r w:rsidRPr="00FE1D0F">
        <w:rPr>
          <w:rFonts w:ascii="Times New Roman" w:hAnsi="Times New Roman" w:cs="Times New Roman"/>
          <w:sz w:val="26"/>
          <w:szCs w:val="26"/>
          <w:lang w:val="nl-NL"/>
        </w:rPr>
        <w:t>ở</w:t>
      </w:r>
      <w:r>
        <w:rPr>
          <w:rFonts w:ascii="Times New Roman" w:hAnsi="Times New Roman" w:cs="Times New Roman"/>
          <w:sz w:val="26"/>
          <w:szCs w:val="26"/>
          <w:lang w:val="nl-NL"/>
        </w:rPr>
        <w:t xml:space="preserve"> l</w:t>
      </w:r>
      <w:r w:rsidRPr="00FE1D0F">
        <w:rPr>
          <w:rFonts w:ascii="Times New Roman" w:hAnsi="Times New Roman" w:cs="Times New Roman"/>
          <w:sz w:val="26"/>
          <w:szCs w:val="26"/>
          <w:lang w:val="nl-NL"/>
        </w:rPr>
        <w:t>ê</w:t>
      </w:r>
      <w:r>
        <w:rPr>
          <w:rFonts w:ascii="Times New Roman" w:hAnsi="Times New Roman" w:cs="Times New Roman"/>
          <w:sz w:val="26"/>
          <w:szCs w:val="26"/>
          <w:lang w:val="nl-NL"/>
        </w:rPr>
        <w:t>n</w:t>
      </w:r>
      <w:r w:rsidRPr="00FE311B">
        <w:rPr>
          <w:rFonts w:ascii="Times New Roman" w:hAnsi="Times New Roman" w:cs="Times New Roman"/>
          <w:sz w:val="26"/>
          <w:szCs w:val="26"/>
          <w:lang w:val="nl-NL"/>
        </w:rPr>
        <w:t xml:space="preserve"> kể cả có phát sinh thuế TNCN hay không); phân biệt cán bộ cơ hữu, giảng viên thỉnh giảng và sinh viên; tổng số TNCN và tổng sô thuế TNCN được </w:t>
      </w:r>
      <w:r>
        <w:rPr>
          <w:rFonts w:ascii="Times New Roman" w:hAnsi="Times New Roman" w:cs="Times New Roman"/>
          <w:sz w:val="26"/>
          <w:szCs w:val="26"/>
          <w:lang w:val="nl-NL"/>
        </w:rPr>
        <w:t>kh</w:t>
      </w:r>
      <w:r w:rsidRPr="00FB6804">
        <w:rPr>
          <w:rFonts w:ascii="Times New Roman" w:hAnsi="Times New Roman" w:cs="Times New Roman"/>
          <w:sz w:val="26"/>
          <w:szCs w:val="26"/>
          <w:lang w:val="nl-NL"/>
        </w:rPr>
        <w:t>ấu</w:t>
      </w:r>
      <w:r>
        <w:rPr>
          <w:rFonts w:ascii="Times New Roman" w:hAnsi="Times New Roman" w:cs="Times New Roman"/>
          <w:sz w:val="26"/>
          <w:szCs w:val="26"/>
          <w:lang w:val="nl-NL"/>
        </w:rPr>
        <w:t xml:space="preserve"> tr</w:t>
      </w:r>
      <w:r w:rsidRPr="00FB6804">
        <w:rPr>
          <w:rFonts w:ascii="Times New Roman" w:hAnsi="Times New Roman" w:cs="Times New Roman"/>
          <w:sz w:val="26"/>
          <w:szCs w:val="26"/>
          <w:lang w:val="nl-NL"/>
        </w:rPr>
        <w:t>ừ</w:t>
      </w:r>
      <w:r w:rsidRPr="00FE311B">
        <w:rPr>
          <w:rFonts w:ascii="Times New Roman" w:hAnsi="Times New Roman" w:cs="Times New Roman"/>
          <w:sz w:val="26"/>
          <w:szCs w:val="26"/>
          <w:lang w:val="nl-NL"/>
        </w:rPr>
        <w:t>.</w:t>
      </w:r>
    </w:p>
    <w:p w:rsidR="00972F15" w:rsidRPr="00FB6804" w:rsidRDefault="00972F15" w:rsidP="00A97B3A">
      <w:pPr>
        <w:pStyle w:val="ListParagraph"/>
        <w:numPr>
          <w:ilvl w:val="0"/>
          <w:numId w:val="1"/>
        </w:numPr>
        <w:spacing w:before="120" w:after="120"/>
        <w:ind w:left="0" w:right="-43"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Mẫu chứng từ phải đáp ứng tối thiểu 7 nội dung quy định tại Điều 16 Luật kế toán, phù hợp với việc ghi chép và yêu cầu quản lý của đơn vị.</w:t>
      </w:r>
      <w:r>
        <w:rPr>
          <w:rFonts w:ascii="Times New Roman" w:hAnsi="Times New Roman" w:cs="Times New Roman"/>
          <w:sz w:val="26"/>
          <w:szCs w:val="26"/>
          <w:lang w:val="nl-NL"/>
        </w:rPr>
        <w:t xml:space="preserve"> </w:t>
      </w:r>
      <w:r w:rsidRPr="00FB6804">
        <w:rPr>
          <w:rFonts w:ascii="Times New Roman" w:hAnsi="Times New Roman" w:cs="Times New Roman"/>
          <w:sz w:val="26"/>
          <w:szCs w:val="26"/>
          <w:lang w:val="nl-NL"/>
        </w:rPr>
        <w:t>Nội dung chứng từ kế toán</w:t>
      </w:r>
      <w:r>
        <w:rPr>
          <w:rFonts w:ascii="Times New Roman" w:hAnsi="Times New Roman" w:cs="Times New Roman"/>
          <w:sz w:val="26"/>
          <w:szCs w:val="26"/>
          <w:lang w:val="nl-NL"/>
        </w:rPr>
        <w:t>:</w:t>
      </w:r>
    </w:p>
    <w:p w:rsidR="00972F15" w:rsidRPr="00FE311B"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Tên và số hiệu của chứng từ kế toán;</w:t>
      </w:r>
    </w:p>
    <w:p w:rsidR="00972F15" w:rsidRPr="00FE311B"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Ngày, tháng, năm lập chứng từ kế toán;</w:t>
      </w:r>
    </w:p>
    <w:p w:rsidR="00972F15" w:rsidRPr="00FE311B"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Tên, địa chỉ của cơ quan, tổ chức, đơn vị hoặc cá nhân lập chứng từ kế toán;</w:t>
      </w:r>
    </w:p>
    <w:p w:rsidR="00972F15" w:rsidRPr="00FE311B"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Tên, địa chỉ của cơ quan, tổ chức, đơn vị hoặc cá nhân nhận chứng từ kế toán;</w:t>
      </w:r>
    </w:p>
    <w:p w:rsidR="00972F15" w:rsidRPr="00FE311B"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Nội dung nghiệp vụ kinh tế, tài chính phát sinh;</w:t>
      </w:r>
    </w:p>
    <w:p w:rsidR="00972F15" w:rsidRPr="00FE311B"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Chữ ký, họ và tên của người lập, người duyệt và những người có liên quan đến chứng từ kế toán;</w:t>
      </w:r>
    </w:p>
    <w:p w:rsidR="00972F15" w:rsidRPr="002837C3" w:rsidRDefault="00972F15" w:rsidP="00A97B3A">
      <w:pPr>
        <w:pStyle w:val="ListParagraph"/>
        <w:numPr>
          <w:ilvl w:val="0"/>
          <w:numId w:val="2"/>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Số lượng, đơn giá và số tiền của nghiệp vụ kinh tế, tài chính ghi bằng số; tổng số tiền của chứng từ kế toán dùng để thu, chi tiền ghi bằng số và bằng chữ.</w:t>
      </w:r>
    </w:p>
    <w:p w:rsidR="00972F15" w:rsidRPr="00FE311B" w:rsidRDefault="00972F15" w:rsidP="00A97B3A">
      <w:pPr>
        <w:pStyle w:val="ListParagraph"/>
        <w:numPr>
          <w:ilvl w:val="0"/>
          <w:numId w:val="3"/>
        </w:numPr>
        <w:spacing w:before="120" w:after="120"/>
        <w:ind w:left="576" w:right="-43" w:hanging="432"/>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Cách tính thuế TNCN</w:t>
      </w:r>
    </w:p>
    <w:p w:rsidR="00972F15" w:rsidRPr="00FE311B" w:rsidRDefault="00972F15" w:rsidP="00A97B3A">
      <w:pPr>
        <w:pStyle w:val="ListParagraph"/>
        <w:numPr>
          <w:ilvl w:val="1"/>
          <w:numId w:val="3"/>
        </w:numPr>
        <w:tabs>
          <w:tab w:val="left" w:pos="1080"/>
        </w:tabs>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  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thu nhập chịu thuế TNCN</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Thu nhập từ tiền lương, tiền công và các Khoản có tính chất tiền lương, tiền công dưới các hình thức bằng tiền hoặc không bằng tiền.</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Tiền thù lao nhận được dưới các hình thức như: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hóa, nghệ thuật, thể dục, thể thao; tiền dịch vụ quảng cáo; tiền dịch vụ khác, thù lao khác.</w:t>
      </w:r>
    </w:p>
    <w:p w:rsidR="00972F15" w:rsidRPr="00FE311B" w:rsidRDefault="00972F15" w:rsidP="00A97B3A">
      <w:pPr>
        <w:spacing w:before="120" w:after="120"/>
        <w:ind w:firstLine="36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(Tham khảo Điều 2 Thông tư  111/2013/TT-BTC ngày 15/08/2013)</w:t>
      </w:r>
    </w:p>
    <w:p w:rsidR="00972F15" w:rsidRPr="00FE311B" w:rsidRDefault="00972F15" w:rsidP="00A97B3A">
      <w:pPr>
        <w:pStyle w:val="ListParagraph"/>
        <w:numPr>
          <w:ilvl w:val="1"/>
          <w:numId w:val="3"/>
        </w:numPr>
        <w:tabs>
          <w:tab w:val="left" w:pos="1080"/>
        </w:tabs>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  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không tính thuế TNCN</w:t>
      </w:r>
    </w:p>
    <w:p w:rsidR="00972F15" w:rsidRPr="00FE311B" w:rsidRDefault="00972F15" w:rsidP="00A97B3A">
      <w:pPr>
        <w:pStyle w:val="ListParagraph"/>
        <w:numPr>
          <w:ilvl w:val="2"/>
          <w:numId w:val="3"/>
        </w:numPr>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phụ cấp, trợ cấp không tính vào thu nhập chịu thuế</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Phụ cấp độc hại.</w:t>
      </w:r>
    </w:p>
    <w:p w:rsidR="00972F15" w:rsidRPr="00FE311B" w:rsidRDefault="00972F15" w:rsidP="00A97B3A">
      <w:pPr>
        <w:pStyle w:val="ListParagraph"/>
        <w:numPr>
          <w:ilvl w:val="0"/>
          <w:numId w:val="1"/>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lastRenderedPageBreak/>
        <w:t>Phụ cấp đặc thù ngành nghề (</w:t>
      </w:r>
      <w:r>
        <w:rPr>
          <w:rFonts w:ascii="Times New Roman" w:hAnsi="Times New Roman" w:cs="Times New Roman"/>
          <w:sz w:val="26"/>
          <w:szCs w:val="26"/>
          <w:lang w:val="nl-NL"/>
        </w:rPr>
        <w:t>p</w:t>
      </w:r>
      <w:r w:rsidRPr="00FE311B">
        <w:rPr>
          <w:rFonts w:ascii="Times New Roman" w:hAnsi="Times New Roman" w:cs="Times New Roman"/>
          <w:sz w:val="26"/>
          <w:szCs w:val="26"/>
          <w:lang w:val="nl-NL"/>
        </w:rPr>
        <w:t>hụ cấp giảng dạy và phụ cấp thâm niên nghề).</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 xml:space="preserve">Các phụ cấp, trợ cấp khác theo Điểm b Khoản 2 Điều 2 Thông tư </w:t>
      </w:r>
      <w:r>
        <w:rPr>
          <w:rFonts w:ascii="Times New Roman" w:hAnsi="Times New Roman" w:cs="Times New Roman"/>
          <w:sz w:val="26"/>
          <w:szCs w:val="26"/>
          <w:lang w:val="nl-NL"/>
        </w:rPr>
        <w:t>111/2013/TT-BTC ngày 15/</w:t>
      </w:r>
      <w:r w:rsidRPr="00FE311B">
        <w:rPr>
          <w:rFonts w:ascii="Times New Roman" w:hAnsi="Times New Roman" w:cs="Times New Roman"/>
          <w:sz w:val="26"/>
          <w:szCs w:val="26"/>
          <w:lang w:val="nl-NL"/>
        </w:rPr>
        <w:t>8/2013</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Tiền ăn trưa</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Tiền phụ cấp trang phục không quá 5.000.000 VND/năm</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Mức khoán chi phụ cấp điện thoại, công tác phí theo quy chế</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Tiền làm thêm giờ vào ngày nghỉ, lễ, làm việc ban đêm được trả cao hơn so với ngày bình thường</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Khoản tiền chi đám hiếu, hỉ (không quá 1 tháng lương bình quân thực tế thực hiện trong năm tính thuế)</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Khoản chi về phương tiện phục vụ đưa đón người lao động</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Các Khoản thu nhập khác theo Điểm g Khoản 2 Điều 2 Thô</w:t>
      </w:r>
      <w:r>
        <w:rPr>
          <w:rFonts w:ascii="Times New Roman" w:hAnsi="Times New Roman" w:cs="Times New Roman"/>
          <w:sz w:val="26"/>
          <w:szCs w:val="26"/>
          <w:lang w:val="nl-NL"/>
        </w:rPr>
        <w:t>ng tư  111/2013/TT-BTC ngày 15/</w:t>
      </w:r>
      <w:r w:rsidRPr="00FE311B">
        <w:rPr>
          <w:rFonts w:ascii="Times New Roman" w:hAnsi="Times New Roman" w:cs="Times New Roman"/>
          <w:sz w:val="26"/>
          <w:szCs w:val="26"/>
          <w:lang w:val="nl-NL"/>
        </w:rPr>
        <w:t>8/2013</w:t>
      </w:r>
    </w:p>
    <w:p w:rsidR="00972F15" w:rsidRPr="00FE311B" w:rsidRDefault="00972F15" w:rsidP="00A97B3A">
      <w:pPr>
        <w:spacing w:before="120" w:after="120"/>
        <w:ind w:firstLine="36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(Tham khảo Điều 2 Thô</w:t>
      </w:r>
      <w:r>
        <w:rPr>
          <w:rFonts w:ascii="Times New Roman" w:hAnsi="Times New Roman" w:cs="Times New Roman"/>
          <w:sz w:val="26"/>
          <w:szCs w:val="26"/>
          <w:lang w:val="nl-NL"/>
        </w:rPr>
        <w:t>ng tư  111/2013/TT-BTC ngày 15/</w:t>
      </w:r>
      <w:r w:rsidRPr="00FE311B">
        <w:rPr>
          <w:rFonts w:ascii="Times New Roman" w:hAnsi="Times New Roman" w:cs="Times New Roman"/>
          <w:sz w:val="26"/>
          <w:szCs w:val="26"/>
          <w:lang w:val="nl-NL"/>
        </w:rPr>
        <w:t xml:space="preserve">8/2013) </w:t>
      </w:r>
    </w:p>
    <w:p w:rsidR="00972F15" w:rsidRPr="00FE311B" w:rsidRDefault="00972F15" w:rsidP="00A97B3A">
      <w:pPr>
        <w:pStyle w:val="ListParagraph"/>
        <w:numPr>
          <w:ilvl w:val="2"/>
          <w:numId w:val="3"/>
        </w:numPr>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thu nhập được miễn thuế</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Thu nhập từ học bổng</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Thu nhập nhận được từ các quỹ từ thiện được cơ quan Nhà nước có thẩm quyền cho phép thành lập hoặc công nhận, hoạt động vì mục đích từ thiện, nhân đạo, khuyến học không nhằm mục đích thu lợi nhuận.</w:t>
      </w:r>
    </w:p>
    <w:p w:rsidR="00972F15" w:rsidRPr="00FE311B" w:rsidRDefault="00972F15" w:rsidP="00A97B3A">
      <w:pPr>
        <w:spacing w:before="120" w:after="120"/>
        <w:ind w:firstLine="36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(Tham khảo Điều 3 Thông tư  111/2013/TT-BTC ngày 1</w:t>
      </w:r>
      <w:r>
        <w:rPr>
          <w:rFonts w:ascii="Times New Roman" w:hAnsi="Times New Roman" w:cs="Times New Roman"/>
          <w:sz w:val="26"/>
          <w:szCs w:val="26"/>
          <w:lang w:val="nl-NL"/>
        </w:rPr>
        <w:t>5/</w:t>
      </w:r>
      <w:r w:rsidRPr="00FE311B">
        <w:rPr>
          <w:rFonts w:ascii="Times New Roman" w:hAnsi="Times New Roman" w:cs="Times New Roman"/>
          <w:sz w:val="26"/>
          <w:szCs w:val="26"/>
          <w:lang w:val="nl-NL"/>
        </w:rPr>
        <w:t xml:space="preserve">8/2013)     </w:t>
      </w:r>
    </w:p>
    <w:p w:rsidR="00972F15" w:rsidRPr="00FE311B" w:rsidRDefault="00972F15" w:rsidP="00A97B3A">
      <w:pPr>
        <w:pStyle w:val="ListParagraph"/>
        <w:numPr>
          <w:ilvl w:val="1"/>
          <w:numId w:val="3"/>
        </w:numPr>
        <w:tabs>
          <w:tab w:val="left" w:pos="1080"/>
        </w:tabs>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  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giảm trừ</w:t>
      </w:r>
    </w:p>
    <w:p w:rsidR="00972F15" w:rsidRDefault="00972F15" w:rsidP="00A97B3A">
      <w:pPr>
        <w:pStyle w:val="ListParagraph"/>
        <w:numPr>
          <w:ilvl w:val="2"/>
          <w:numId w:val="3"/>
        </w:numPr>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Giảm trừ gia cảnh</w:t>
      </w:r>
    </w:p>
    <w:p w:rsidR="00972F15" w:rsidRPr="005F11DD" w:rsidRDefault="00972F15" w:rsidP="00A97B3A">
      <w:pPr>
        <w:spacing w:before="120" w:after="120"/>
        <w:ind w:right="-43" w:firstLine="360"/>
        <w:jc w:val="both"/>
        <w:rPr>
          <w:rFonts w:ascii="Times New Roman" w:hAnsi="Times New Roman" w:cs="Times New Roman"/>
          <w:b/>
          <w:sz w:val="26"/>
          <w:szCs w:val="26"/>
          <w:lang w:val="nl-NL"/>
        </w:rPr>
      </w:pPr>
      <w:r>
        <w:rPr>
          <w:rFonts w:ascii="Times New Roman" w:hAnsi="Times New Roman" w:cs="Times New Roman"/>
          <w:sz w:val="26"/>
          <w:szCs w:val="26"/>
          <w:lang w:val="nl-NL"/>
        </w:rPr>
        <w:t>T</w:t>
      </w:r>
      <w:r w:rsidRPr="005F11DD">
        <w:rPr>
          <w:rFonts w:ascii="Times New Roman" w:hAnsi="Times New Roman" w:cs="Times New Roman"/>
          <w:sz w:val="26"/>
          <w:szCs w:val="26"/>
          <w:lang w:val="nl-NL"/>
        </w:rPr>
        <w:t>heo mức quy định của năm hiện hành</w:t>
      </w:r>
    </w:p>
    <w:p w:rsidR="00972F15" w:rsidRPr="00FE311B" w:rsidRDefault="00972F15" w:rsidP="00A97B3A">
      <w:pPr>
        <w:pStyle w:val="ListParagraph"/>
        <w:numPr>
          <w:ilvl w:val="0"/>
          <w:numId w:val="1"/>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 xml:space="preserve">Đối với người nộp thuế là </w:t>
      </w:r>
      <w:r w:rsidR="00732CED">
        <w:rPr>
          <w:rFonts w:ascii="Times New Roman" w:hAnsi="Times New Roman" w:cs="Times New Roman"/>
          <w:sz w:val="26"/>
          <w:szCs w:val="26"/>
          <w:lang w:val="nl-NL"/>
        </w:rPr>
        <w:t>11</w:t>
      </w:r>
      <w:r w:rsidRPr="00FE311B">
        <w:rPr>
          <w:rFonts w:ascii="Times New Roman" w:hAnsi="Times New Roman" w:cs="Times New Roman"/>
          <w:sz w:val="26"/>
          <w:szCs w:val="26"/>
          <w:lang w:val="nl-NL"/>
        </w:rPr>
        <w:t xml:space="preserve"> triệu đồng/tháng</w:t>
      </w:r>
      <w:r>
        <w:rPr>
          <w:rFonts w:ascii="Times New Roman" w:hAnsi="Times New Roman" w:cs="Times New Roman"/>
          <w:sz w:val="26"/>
          <w:szCs w:val="26"/>
          <w:lang w:val="nl-NL"/>
        </w:rPr>
        <w:t xml:space="preserve"> </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 xml:space="preserve">Đối với mỗi người phụ thuộc là </w:t>
      </w:r>
      <w:r w:rsidR="00732CED">
        <w:rPr>
          <w:rFonts w:ascii="Times New Roman" w:hAnsi="Times New Roman" w:cs="Times New Roman"/>
          <w:sz w:val="26"/>
          <w:szCs w:val="26"/>
          <w:lang w:val="nl-NL"/>
        </w:rPr>
        <w:t>4</w:t>
      </w:r>
      <w:r>
        <w:rPr>
          <w:rFonts w:ascii="Times New Roman" w:hAnsi="Times New Roman" w:cs="Times New Roman"/>
          <w:sz w:val="26"/>
          <w:szCs w:val="26"/>
          <w:lang w:val="nl-NL"/>
        </w:rPr>
        <w:t>,</w:t>
      </w:r>
      <w:r w:rsidR="00732CED">
        <w:rPr>
          <w:rFonts w:ascii="Times New Roman" w:hAnsi="Times New Roman" w:cs="Times New Roman"/>
          <w:sz w:val="26"/>
          <w:szCs w:val="26"/>
          <w:lang w:val="nl-NL"/>
        </w:rPr>
        <w:t>4</w:t>
      </w:r>
      <w:r w:rsidRPr="00FE311B">
        <w:rPr>
          <w:rFonts w:ascii="Times New Roman" w:hAnsi="Times New Roman" w:cs="Times New Roman"/>
          <w:sz w:val="26"/>
          <w:szCs w:val="26"/>
          <w:lang w:val="nl-NL"/>
        </w:rPr>
        <w:t xml:space="preserve"> triệu đồng/tháng (</w:t>
      </w:r>
      <w:r>
        <w:rPr>
          <w:rFonts w:ascii="Times New Roman" w:hAnsi="Times New Roman" w:cs="Times New Roman"/>
          <w:sz w:val="26"/>
          <w:szCs w:val="26"/>
          <w:lang w:val="nl-NL"/>
        </w:rPr>
        <w:t>p</w:t>
      </w:r>
      <w:r w:rsidRPr="00FE311B">
        <w:rPr>
          <w:rFonts w:ascii="Times New Roman" w:hAnsi="Times New Roman" w:cs="Times New Roman"/>
          <w:sz w:val="26"/>
          <w:szCs w:val="26"/>
          <w:lang w:val="nl-NL"/>
        </w:rPr>
        <w:t>hải đăng ký người phụ thuộc giảm trừ gia cảnh)</w:t>
      </w:r>
    </w:p>
    <w:p w:rsidR="00972F15" w:rsidRPr="00FE311B" w:rsidRDefault="00972F15" w:rsidP="00A97B3A">
      <w:pPr>
        <w:pStyle w:val="ListParagraph"/>
        <w:numPr>
          <w:ilvl w:val="2"/>
          <w:numId w:val="3"/>
        </w:numPr>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 xml:space="preserve">hoản bảo hiểm bắt buộc và 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đóng vào quỹ hưu trí tự nguyện</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Theo tỷ lệ năm hiện hành như sau: BHXH (8%), BHYT (1.5%), BHTN (1%) và bảo hiểm nghề nghiệp trong một số lĩnh vực đặc biệt</w:t>
      </w:r>
    </w:p>
    <w:p w:rsidR="00972F15" w:rsidRPr="00FE311B" w:rsidRDefault="00972F15" w:rsidP="00A97B3A">
      <w:pPr>
        <w:pStyle w:val="ListParagraph"/>
        <w:numPr>
          <w:ilvl w:val="2"/>
          <w:numId w:val="3"/>
        </w:numPr>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Các </w:t>
      </w:r>
      <w:r>
        <w:rPr>
          <w:rFonts w:ascii="Times New Roman" w:hAnsi="Times New Roman" w:cs="Times New Roman"/>
          <w:b/>
          <w:sz w:val="26"/>
          <w:szCs w:val="26"/>
          <w:lang w:val="nl-NL"/>
        </w:rPr>
        <w:t>k</w:t>
      </w:r>
      <w:r w:rsidRPr="00FE311B">
        <w:rPr>
          <w:rFonts w:ascii="Times New Roman" w:hAnsi="Times New Roman" w:cs="Times New Roman"/>
          <w:b/>
          <w:sz w:val="26"/>
          <w:szCs w:val="26"/>
          <w:lang w:val="nl-NL"/>
        </w:rPr>
        <w:t>hoản đóng góp từ thiện, nhân đạo, khuyến học</w:t>
      </w:r>
    </w:p>
    <w:p w:rsidR="00972F15" w:rsidRPr="00FE311B" w:rsidRDefault="00972F15" w:rsidP="00A97B3A">
      <w:pPr>
        <w:spacing w:before="120" w:after="120"/>
        <w:ind w:firstLine="36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(Tham khảo Điều 9 Thông tư  111/20</w:t>
      </w:r>
      <w:r w:rsidR="00A97B3A">
        <w:rPr>
          <w:rFonts w:ascii="Times New Roman" w:hAnsi="Times New Roman" w:cs="Times New Roman"/>
          <w:sz w:val="26"/>
          <w:szCs w:val="26"/>
          <w:lang w:val="nl-NL"/>
        </w:rPr>
        <w:t>13/TT-BTC ngày 15/08/2013)</w:t>
      </w:r>
    </w:p>
    <w:p w:rsidR="00972F15" w:rsidRPr="00FE311B" w:rsidRDefault="00972F15" w:rsidP="00A97B3A">
      <w:pPr>
        <w:pStyle w:val="ListParagraph"/>
        <w:numPr>
          <w:ilvl w:val="1"/>
          <w:numId w:val="3"/>
        </w:numPr>
        <w:tabs>
          <w:tab w:val="left" w:pos="1080"/>
        </w:tabs>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 xml:space="preserve">  Căn cứ tính thuế, thuế suất và công thức tính thuế TNCN</w:t>
      </w:r>
    </w:p>
    <w:p w:rsidR="00972F15" w:rsidRDefault="00972F15" w:rsidP="00A97B3A">
      <w:pPr>
        <w:pStyle w:val="ListParagraph"/>
        <w:numPr>
          <w:ilvl w:val="2"/>
          <w:numId w:val="3"/>
        </w:numPr>
        <w:spacing w:before="120" w:after="120"/>
        <w:ind w:right="-43"/>
        <w:contextualSpacing w:val="0"/>
        <w:jc w:val="both"/>
        <w:rPr>
          <w:rFonts w:ascii="Times New Roman" w:hAnsi="Times New Roman" w:cs="Times New Roman"/>
          <w:b/>
          <w:sz w:val="26"/>
          <w:szCs w:val="26"/>
          <w:lang w:val="nl-NL"/>
        </w:rPr>
      </w:pPr>
      <w:r w:rsidRPr="00FE311B">
        <w:rPr>
          <w:rFonts w:ascii="Times New Roman" w:hAnsi="Times New Roman" w:cs="Times New Roman"/>
          <w:b/>
          <w:sz w:val="26"/>
          <w:szCs w:val="26"/>
          <w:lang w:val="nl-NL"/>
        </w:rPr>
        <w:t>Căn cứ tính thuế</w:t>
      </w:r>
      <w:r>
        <w:rPr>
          <w:rFonts w:ascii="Times New Roman" w:hAnsi="Times New Roman" w:cs="Times New Roman"/>
          <w:b/>
          <w:sz w:val="26"/>
          <w:szCs w:val="26"/>
          <w:lang w:val="nl-NL"/>
        </w:rPr>
        <w:t xml:space="preserve"> TNCN</w:t>
      </w:r>
      <w:r w:rsidRPr="00FE311B">
        <w:rPr>
          <w:rFonts w:ascii="Times New Roman" w:hAnsi="Times New Roman" w:cs="Times New Roman"/>
          <w:b/>
          <w:sz w:val="26"/>
          <w:szCs w:val="26"/>
          <w:lang w:val="nl-NL"/>
        </w:rPr>
        <w:t xml:space="preserve"> </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b/>
          <w:sz w:val="26"/>
          <w:szCs w:val="26"/>
          <w:lang w:val="nl-NL"/>
        </w:rPr>
      </w:pPr>
      <w:r>
        <w:rPr>
          <w:rFonts w:ascii="Times New Roman" w:hAnsi="Times New Roman" w:cs="Times New Roman"/>
          <w:sz w:val="26"/>
          <w:szCs w:val="26"/>
          <w:lang w:val="nl-NL"/>
        </w:rPr>
        <w:lastRenderedPageBreak/>
        <w:t>T</w:t>
      </w:r>
      <w:r w:rsidRPr="00FE311B">
        <w:rPr>
          <w:rFonts w:ascii="Times New Roman" w:hAnsi="Times New Roman" w:cs="Times New Roman"/>
          <w:sz w:val="26"/>
          <w:szCs w:val="26"/>
          <w:lang w:val="nl-NL"/>
        </w:rPr>
        <w:t>hu nhập tính thuế, thuế suất và được tính theo biểu lũy tiến từng phần</w:t>
      </w:r>
    </w:p>
    <w:p w:rsidR="00972F15" w:rsidRPr="00FE311B" w:rsidRDefault="00972F15" w:rsidP="00A97B3A">
      <w:pPr>
        <w:pStyle w:val="ListParagraph"/>
        <w:numPr>
          <w:ilvl w:val="2"/>
          <w:numId w:val="3"/>
        </w:numPr>
        <w:spacing w:before="120" w:after="120"/>
        <w:ind w:right="-43"/>
        <w:contextualSpacing w:val="0"/>
        <w:jc w:val="both"/>
        <w:rPr>
          <w:rFonts w:ascii="Times New Roman" w:hAnsi="Times New Roman" w:cs="Times New Roman"/>
          <w:sz w:val="26"/>
          <w:szCs w:val="26"/>
          <w:lang w:val="nl-NL"/>
        </w:rPr>
      </w:pPr>
      <w:r w:rsidRPr="00FE311B">
        <w:rPr>
          <w:rFonts w:ascii="Times New Roman" w:hAnsi="Times New Roman" w:cs="Times New Roman"/>
          <w:b/>
          <w:sz w:val="26"/>
          <w:szCs w:val="26"/>
          <w:lang w:val="nl-NL"/>
        </w:rPr>
        <w:t>Thuế suấ</w:t>
      </w:r>
      <w:r>
        <w:rPr>
          <w:rFonts w:ascii="Times New Roman" w:hAnsi="Times New Roman" w:cs="Times New Roman"/>
          <w:b/>
          <w:sz w:val="26"/>
          <w:szCs w:val="26"/>
          <w:lang w:val="nl-NL"/>
        </w:rPr>
        <w:t>t</w:t>
      </w:r>
    </w:p>
    <w:p w:rsidR="00972F15"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 xml:space="preserve">Thuế suất thuế TNCN được áp dụng theo Biểu thuế lũy tiến từng phần quy định tại Phụ lục 01/PL-TNCN theo Thông tư số 111/2013/TT-BTC như sau: </w:t>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29"/>
        <w:gridCol w:w="810"/>
        <w:gridCol w:w="3596"/>
        <w:gridCol w:w="2340"/>
      </w:tblGrid>
      <w:tr w:rsidR="00972F15" w:rsidRPr="00FE311B" w:rsidTr="008E0EE8">
        <w:trPr>
          <w:trHeight w:val="305"/>
        </w:trPr>
        <w:tc>
          <w:tcPr>
            <w:tcW w:w="635" w:type="dxa"/>
            <w:vMerge w:val="restart"/>
            <w:vAlign w:val="center"/>
          </w:tcPr>
          <w:p w:rsidR="00972F15" w:rsidRPr="002F2AE3" w:rsidRDefault="00972F15" w:rsidP="008E0EE8">
            <w:pPr>
              <w:spacing w:after="0" w:line="336" w:lineRule="auto"/>
              <w:jc w:val="center"/>
              <w:rPr>
                <w:rFonts w:ascii="Times New Roman" w:hAnsi="Times New Roman" w:cs="Times New Roman"/>
                <w:b/>
                <w:sz w:val="24"/>
                <w:szCs w:val="24"/>
              </w:rPr>
            </w:pPr>
            <w:proofErr w:type="spellStart"/>
            <w:r w:rsidRPr="002F2AE3">
              <w:rPr>
                <w:rFonts w:ascii="Times New Roman" w:hAnsi="Times New Roman" w:cs="Times New Roman"/>
                <w:b/>
                <w:sz w:val="24"/>
                <w:szCs w:val="24"/>
              </w:rPr>
              <w:t>Bậc</w:t>
            </w:r>
            <w:proofErr w:type="spellEnd"/>
          </w:p>
        </w:tc>
        <w:tc>
          <w:tcPr>
            <w:tcW w:w="2429" w:type="dxa"/>
            <w:vMerge w:val="restart"/>
            <w:vAlign w:val="center"/>
          </w:tcPr>
          <w:p w:rsidR="00972F15" w:rsidRPr="002F2AE3" w:rsidRDefault="00972F15" w:rsidP="008E0EE8">
            <w:pPr>
              <w:spacing w:after="0" w:line="336" w:lineRule="auto"/>
              <w:jc w:val="center"/>
              <w:rPr>
                <w:rFonts w:ascii="Times New Roman" w:hAnsi="Times New Roman" w:cs="Times New Roman"/>
                <w:b/>
                <w:sz w:val="24"/>
                <w:szCs w:val="24"/>
              </w:rPr>
            </w:pPr>
            <w:r w:rsidRPr="002F2AE3">
              <w:rPr>
                <w:rFonts w:ascii="Times New Roman" w:hAnsi="Times New Roman" w:cs="Times New Roman"/>
                <w:b/>
                <w:sz w:val="24"/>
                <w:szCs w:val="24"/>
              </w:rPr>
              <w:t xml:space="preserve">Thu </w:t>
            </w:r>
            <w:proofErr w:type="spellStart"/>
            <w:r w:rsidRPr="002F2AE3">
              <w:rPr>
                <w:rFonts w:ascii="Times New Roman" w:hAnsi="Times New Roman" w:cs="Times New Roman"/>
                <w:b/>
                <w:sz w:val="24"/>
                <w:szCs w:val="24"/>
              </w:rPr>
              <w:t>nhập</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tính</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thuế</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tháng</w:t>
            </w:r>
            <w:proofErr w:type="spellEnd"/>
          </w:p>
        </w:tc>
        <w:tc>
          <w:tcPr>
            <w:tcW w:w="810" w:type="dxa"/>
            <w:vMerge w:val="restart"/>
            <w:vAlign w:val="center"/>
          </w:tcPr>
          <w:p w:rsidR="00972F15" w:rsidRPr="002F2AE3" w:rsidRDefault="00972F15" w:rsidP="008E0EE8">
            <w:pPr>
              <w:spacing w:after="0" w:line="336" w:lineRule="auto"/>
              <w:jc w:val="center"/>
              <w:rPr>
                <w:rFonts w:ascii="Times New Roman" w:hAnsi="Times New Roman" w:cs="Times New Roman"/>
                <w:b/>
                <w:sz w:val="24"/>
                <w:szCs w:val="24"/>
              </w:rPr>
            </w:pPr>
            <w:proofErr w:type="spellStart"/>
            <w:r w:rsidRPr="002F2AE3">
              <w:rPr>
                <w:rFonts w:ascii="Times New Roman" w:hAnsi="Times New Roman" w:cs="Times New Roman"/>
                <w:b/>
                <w:sz w:val="24"/>
                <w:szCs w:val="24"/>
              </w:rPr>
              <w:t>Thuế</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suất</w:t>
            </w:r>
            <w:proofErr w:type="spellEnd"/>
          </w:p>
        </w:tc>
        <w:tc>
          <w:tcPr>
            <w:tcW w:w="5936" w:type="dxa"/>
            <w:gridSpan w:val="2"/>
            <w:vAlign w:val="center"/>
          </w:tcPr>
          <w:p w:rsidR="00972F15" w:rsidRPr="002F2AE3" w:rsidRDefault="00972F15" w:rsidP="008E0EE8">
            <w:pPr>
              <w:spacing w:after="0" w:line="336" w:lineRule="auto"/>
              <w:jc w:val="center"/>
              <w:rPr>
                <w:rFonts w:ascii="Times New Roman" w:hAnsi="Times New Roman" w:cs="Times New Roman"/>
                <w:b/>
                <w:sz w:val="24"/>
                <w:szCs w:val="24"/>
              </w:rPr>
            </w:pPr>
            <w:proofErr w:type="spellStart"/>
            <w:r w:rsidRPr="002F2AE3">
              <w:rPr>
                <w:rFonts w:ascii="Times New Roman" w:hAnsi="Times New Roman" w:cs="Times New Roman"/>
                <w:b/>
                <w:sz w:val="24"/>
                <w:szCs w:val="24"/>
              </w:rPr>
              <w:t>Tính</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số</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thuế</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phải</w:t>
            </w:r>
            <w:proofErr w:type="spellEnd"/>
            <w:r w:rsidRPr="002F2AE3">
              <w:rPr>
                <w:rFonts w:ascii="Times New Roman" w:hAnsi="Times New Roman" w:cs="Times New Roman"/>
                <w:b/>
                <w:sz w:val="24"/>
                <w:szCs w:val="24"/>
              </w:rPr>
              <w:t xml:space="preserve"> </w:t>
            </w:r>
            <w:proofErr w:type="spellStart"/>
            <w:r w:rsidRPr="002F2AE3">
              <w:rPr>
                <w:rFonts w:ascii="Times New Roman" w:hAnsi="Times New Roman" w:cs="Times New Roman"/>
                <w:b/>
                <w:sz w:val="24"/>
                <w:szCs w:val="24"/>
              </w:rPr>
              <w:t>nộp</w:t>
            </w:r>
            <w:proofErr w:type="spellEnd"/>
          </w:p>
        </w:tc>
      </w:tr>
      <w:tr w:rsidR="00972F15" w:rsidRPr="00FE311B" w:rsidTr="008E0EE8">
        <w:tc>
          <w:tcPr>
            <w:tcW w:w="635" w:type="dxa"/>
            <w:vMerge/>
            <w:vAlign w:val="center"/>
          </w:tcPr>
          <w:p w:rsidR="00972F15" w:rsidRPr="002F2AE3" w:rsidRDefault="00972F15" w:rsidP="008E0EE8">
            <w:pPr>
              <w:spacing w:after="0" w:line="336" w:lineRule="auto"/>
              <w:jc w:val="center"/>
              <w:rPr>
                <w:rFonts w:ascii="Times New Roman" w:hAnsi="Times New Roman" w:cs="Times New Roman"/>
                <w:b/>
                <w:sz w:val="24"/>
                <w:szCs w:val="24"/>
              </w:rPr>
            </w:pPr>
          </w:p>
        </w:tc>
        <w:tc>
          <w:tcPr>
            <w:tcW w:w="2429" w:type="dxa"/>
            <w:vMerge/>
            <w:vAlign w:val="center"/>
          </w:tcPr>
          <w:p w:rsidR="00972F15" w:rsidRPr="002F2AE3" w:rsidRDefault="00972F15" w:rsidP="008E0EE8">
            <w:pPr>
              <w:spacing w:after="0" w:line="336" w:lineRule="auto"/>
              <w:jc w:val="center"/>
              <w:rPr>
                <w:rFonts w:ascii="Times New Roman" w:hAnsi="Times New Roman" w:cs="Times New Roman"/>
                <w:b/>
                <w:sz w:val="24"/>
                <w:szCs w:val="24"/>
              </w:rPr>
            </w:pPr>
          </w:p>
        </w:tc>
        <w:tc>
          <w:tcPr>
            <w:tcW w:w="810" w:type="dxa"/>
            <w:vMerge/>
            <w:vAlign w:val="center"/>
          </w:tcPr>
          <w:p w:rsidR="00972F15" w:rsidRPr="002F2AE3" w:rsidRDefault="00972F15" w:rsidP="008E0EE8">
            <w:pPr>
              <w:spacing w:after="0" w:line="336" w:lineRule="auto"/>
              <w:jc w:val="center"/>
              <w:rPr>
                <w:rFonts w:ascii="Times New Roman" w:hAnsi="Times New Roman" w:cs="Times New Roman"/>
                <w:b/>
                <w:sz w:val="24"/>
                <w:szCs w:val="24"/>
              </w:rPr>
            </w:pPr>
          </w:p>
        </w:tc>
        <w:tc>
          <w:tcPr>
            <w:tcW w:w="3596" w:type="dxa"/>
            <w:vAlign w:val="center"/>
          </w:tcPr>
          <w:p w:rsidR="00972F15" w:rsidRPr="002F2AE3" w:rsidRDefault="00972F15" w:rsidP="008E0EE8">
            <w:pPr>
              <w:spacing w:after="0" w:line="336" w:lineRule="auto"/>
              <w:jc w:val="center"/>
              <w:rPr>
                <w:rFonts w:ascii="Times New Roman" w:hAnsi="Times New Roman" w:cs="Times New Roman"/>
                <w:b/>
                <w:sz w:val="24"/>
                <w:szCs w:val="24"/>
              </w:rPr>
            </w:pPr>
            <w:proofErr w:type="spellStart"/>
            <w:r w:rsidRPr="002F2AE3">
              <w:rPr>
                <w:rFonts w:ascii="Times New Roman" w:hAnsi="Times New Roman" w:cs="Times New Roman"/>
                <w:b/>
                <w:sz w:val="24"/>
                <w:szCs w:val="24"/>
              </w:rPr>
              <w:t>Cách</w:t>
            </w:r>
            <w:proofErr w:type="spellEnd"/>
            <w:r w:rsidRPr="002F2AE3">
              <w:rPr>
                <w:rFonts w:ascii="Times New Roman" w:hAnsi="Times New Roman" w:cs="Times New Roman"/>
                <w:b/>
                <w:sz w:val="24"/>
                <w:szCs w:val="24"/>
              </w:rPr>
              <w:t xml:space="preserve"> 1</w:t>
            </w:r>
          </w:p>
        </w:tc>
        <w:tc>
          <w:tcPr>
            <w:tcW w:w="2340" w:type="dxa"/>
            <w:vAlign w:val="center"/>
          </w:tcPr>
          <w:p w:rsidR="00972F15" w:rsidRPr="002F2AE3" w:rsidRDefault="00972F15" w:rsidP="008E0EE8">
            <w:pPr>
              <w:spacing w:after="0" w:line="336" w:lineRule="auto"/>
              <w:jc w:val="center"/>
              <w:rPr>
                <w:rFonts w:ascii="Times New Roman" w:hAnsi="Times New Roman" w:cs="Times New Roman"/>
                <w:b/>
                <w:sz w:val="24"/>
                <w:szCs w:val="24"/>
              </w:rPr>
            </w:pPr>
            <w:proofErr w:type="spellStart"/>
            <w:r w:rsidRPr="002F2AE3">
              <w:rPr>
                <w:rFonts w:ascii="Times New Roman" w:hAnsi="Times New Roman" w:cs="Times New Roman"/>
                <w:b/>
                <w:sz w:val="24"/>
                <w:szCs w:val="24"/>
              </w:rPr>
              <w:t>Cách</w:t>
            </w:r>
            <w:proofErr w:type="spellEnd"/>
            <w:r w:rsidRPr="002F2AE3">
              <w:rPr>
                <w:rFonts w:ascii="Times New Roman" w:hAnsi="Times New Roman" w:cs="Times New Roman"/>
                <w:b/>
                <w:sz w:val="24"/>
                <w:szCs w:val="24"/>
              </w:rPr>
              <w:t xml:space="preserve"> 2</w:t>
            </w:r>
          </w:p>
        </w:tc>
      </w:tr>
      <w:tr w:rsidR="00972F15" w:rsidRPr="00FE311B" w:rsidTr="008E0EE8">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1</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Đến</w:t>
            </w:r>
            <w:proofErr w:type="spellEnd"/>
            <w:r w:rsidRPr="002F2AE3">
              <w:rPr>
                <w:rFonts w:ascii="Times New Roman" w:hAnsi="Times New Roman" w:cs="Times New Roman"/>
                <w:sz w:val="24"/>
                <w:szCs w:val="24"/>
              </w:rPr>
              <w:t xml:space="preserve"> 5 </w:t>
            </w:r>
            <w:proofErr w:type="spellStart"/>
            <w:r w:rsidRPr="002F2AE3">
              <w:rPr>
                <w:rFonts w:ascii="Times New Roman" w:hAnsi="Times New Roman" w:cs="Times New Roman"/>
                <w:sz w:val="24"/>
                <w:szCs w:val="24"/>
              </w:rPr>
              <w:t>triệu</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đồng</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w:t>
            </w:r>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5%</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0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+ 5% TNTT</w:t>
            </w:r>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5% TNTT</w:t>
            </w:r>
          </w:p>
        </w:tc>
      </w:tr>
      <w:tr w:rsidR="00972F15" w:rsidRPr="00FE311B" w:rsidTr="008E0EE8">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2</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đến</w:t>
            </w:r>
            <w:proofErr w:type="spellEnd"/>
            <w:r w:rsidRPr="002F2AE3">
              <w:rPr>
                <w:rFonts w:ascii="Times New Roman" w:hAnsi="Times New Roman" w:cs="Times New Roman"/>
                <w:sz w:val="24"/>
                <w:szCs w:val="24"/>
              </w:rPr>
              <w:t xml:space="preserve"> 10 </w:t>
            </w:r>
            <w:proofErr w:type="spellStart"/>
            <w:r w:rsidRPr="002F2AE3">
              <w:rPr>
                <w:rFonts w:ascii="Times New Roman" w:hAnsi="Times New Roman" w:cs="Times New Roman"/>
                <w:sz w:val="24"/>
                <w:szCs w:val="24"/>
              </w:rPr>
              <w:t>trđ</w:t>
            </w:r>
            <w:proofErr w:type="spellEnd"/>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10%</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0,25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+ 10% TNTT </w:t>
            </w: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5 </w:t>
            </w:r>
            <w:proofErr w:type="spellStart"/>
            <w:r w:rsidRPr="002F2AE3">
              <w:rPr>
                <w:rFonts w:ascii="Times New Roman" w:hAnsi="Times New Roman" w:cs="Times New Roman"/>
                <w:sz w:val="24"/>
                <w:szCs w:val="24"/>
              </w:rPr>
              <w:t>trđ</w:t>
            </w:r>
            <w:proofErr w:type="spellEnd"/>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10% TNTT - 0,25 </w:t>
            </w:r>
            <w:proofErr w:type="spellStart"/>
            <w:r w:rsidRPr="002F2AE3">
              <w:rPr>
                <w:rFonts w:ascii="Times New Roman" w:hAnsi="Times New Roman" w:cs="Times New Roman"/>
                <w:sz w:val="24"/>
                <w:szCs w:val="24"/>
              </w:rPr>
              <w:t>trđ</w:t>
            </w:r>
            <w:proofErr w:type="spellEnd"/>
          </w:p>
        </w:tc>
      </w:tr>
      <w:tr w:rsidR="00972F15" w:rsidRPr="00FE311B" w:rsidTr="008E0EE8">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3</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10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đến</w:t>
            </w:r>
            <w:proofErr w:type="spellEnd"/>
            <w:r w:rsidRPr="002F2AE3">
              <w:rPr>
                <w:rFonts w:ascii="Times New Roman" w:hAnsi="Times New Roman" w:cs="Times New Roman"/>
                <w:sz w:val="24"/>
                <w:szCs w:val="24"/>
              </w:rPr>
              <w:t xml:space="preserve"> 18 </w:t>
            </w:r>
            <w:proofErr w:type="spellStart"/>
            <w:r w:rsidRPr="002F2AE3">
              <w:rPr>
                <w:rFonts w:ascii="Times New Roman" w:hAnsi="Times New Roman" w:cs="Times New Roman"/>
                <w:sz w:val="24"/>
                <w:szCs w:val="24"/>
              </w:rPr>
              <w:t>trđ</w:t>
            </w:r>
            <w:proofErr w:type="spellEnd"/>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15%</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0,75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+ 15% TNTT </w:t>
            </w: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10 </w:t>
            </w:r>
            <w:proofErr w:type="spellStart"/>
            <w:r w:rsidRPr="002F2AE3">
              <w:rPr>
                <w:rFonts w:ascii="Times New Roman" w:hAnsi="Times New Roman" w:cs="Times New Roman"/>
                <w:sz w:val="24"/>
                <w:szCs w:val="24"/>
              </w:rPr>
              <w:t>trđ</w:t>
            </w:r>
            <w:proofErr w:type="spellEnd"/>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15% TNTT - 0,75 </w:t>
            </w:r>
            <w:proofErr w:type="spellStart"/>
            <w:r w:rsidRPr="002F2AE3">
              <w:rPr>
                <w:rFonts w:ascii="Times New Roman" w:hAnsi="Times New Roman" w:cs="Times New Roman"/>
                <w:sz w:val="24"/>
                <w:szCs w:val="24"/>
              </w:rPr>
              <w:t>trđ</w:t>
            </w:r>
            <w:proofErr w:type="spellEnd"/>
          </w:p>
        </w:tc>
      </w:tr>
      <w:tr w:rsidR="00972F15" w:rsidRPr="00FE311B" w:rsidTr="008E0EE8">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4</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18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đến</w:t>
            </w:r>
            <w:proofErr w:type="spellEnd"/>
            <w:r w:rsidRPr="002F2AE3">
              <w:rPr>
                <w:rFonts w:ascii="Times New Roman" w:hAnsi="Times New Roman" w:cs="Times New Roman"/>
                <w:sz w:val="24"/>
                <w:szCs w:val="24"/>
              </w:rPr>
              <w:t xml:space="preserve"> 32 </w:t>
            </w:r>
            <w:proofErr w:type="spellStart"/>
            <w:r w:rsidRPr="002F2AE3">
              <w:rPr>
                <w:rFonts w:ascii="Times New Roman" w:hAnsi="Times New Roman" w:cs="Times New Roman"/>
                <w:sz w:val="24"/>
                <w:szCs w:val="24"/>
              </w:rPr>
              <w:t>trđ</w:t>
            </w:r>
            <w:proofErr w:type="spellEnd"/>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20%</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1,95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+ 20% TNTT </w:t>
            </w: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18 </w:t>
            </w:r>
            <w:proofErr w:type="spellStart"/>
            <w:r w:rsidRPr="002F2AE3">
              <w:rPr>
                <w:rFonts w:ascii="Times New Roman" w:hAnsi="Times New Roman" w:cs="Times New Roman"/>
                <w:sz w:val="24"/>
                <w:szCs w:val="24"/>
              </w:rPr>
              <w:t>trđ</w:t>
            </w:r>
            <w:proofErr w:type="spellEnd"/>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20% TNTT - 1,65 </w:t>
            </w:r>
            <w:proofErr w:type="spellStart"/>
            <w:r w:rsidRPr="002F2AE3">
              <w:rPr>
                <w:rFonts w:ascii="Times New Roman" w:hAnsi="Times New Roman" w:cs="Times New Roman"/>
                <w:sz w:val="24"/>
                <w:szCs w:val="24"/>
              </w:rPr>
              <w:t>trđ</w:t>
            </w:r>
            <w:proofErr w:type="spellEnd"/>
          </w:p>
        </w:tc>
      </w:tr>
      <w:tr w:rsidR="00972F15" w:rsidRPr="00FE311B" w:rsidTr="008E0EE8">
        <w:trPr>
          <w:trHeight w:val="314"/>
        </w:trPr>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5</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32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đến</w:t>
            </w:r>
            <w:proofErr w:type="spellEnd"/>
            <w:r w:rsidRPr="002F2AE3">
              <w:rPr>
                <w:rFonts w:ascii="Times New Roman" w:hAnsi="Times New Roman" w:cs="Times New Roman"/>
                <w:sz w:val="24"/>
                <w:szCs w:val="24"/>
              </w:rPr>
              <w:t xml:space="preserve"> 52 </w:t>
            </w:r>
            <w:proofErr w:type="spellStart"/>
            <w:r w:rsidRPr="002F2AE3">
              <w:rPr>
                <w:rFonts w:ascii="Times New Roman" w:hAnsi="Times New Roman" w:cs="Times New Roman"/>
                <w:sz w:val="24"/>
                <w:szCs w:val="24"/>
              </w:rPr>
              <w:t>trđ</w:t>
            </w:r>
            <w:proofErr w:type="spellEnd"/>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25%</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4,75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+ 25% TNTT </w:t>
            </w: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32 </w:t>
            </w:r>
            <w:proofErr w:type="spellStart"/>
            <w:r w:rsidRPr="002F2AE3">
              <w:rPr>
                <w:rFonts w:ascii="Times New Roman" w:hAnsi="Times New Roman" w:cs="Times New Roman"/>
                <w:sz w:val="24"/>
                <w:szCs w:val="24"/>
              </w:rPr>
              <w:t>trđ</w:t>
            </w:r>
            <w:proofErr w:type="spellEnd"/>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25% TNTT - 3,25 </w:t>
            </w:r>
            <w:proofErr w:type="spellStart"/>
            <w:r w:rsidRPr="002F2AE3">
              <w:rPr>
                <w:rFonts w:ascii="Times New Roman" w:hAnsi="Times New Roman" w:cs="Times New Roman"/>
                <w:sz w:val="24"/>
                <w:szCs w:val="24"/>
              </w:rPr>
              <w:t>trđ</w:t>
            </w:r>
            <w:proofErr w:type="spellEnd"/>
          </w:p>
        </w:tc>
      </w:tr>
      <w:tr w:rsidR="00972F15" w:rsidRPr="00FE311B" w:rsidTr="008E0EE8">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6</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52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w:t>
            </w:r>
            <w:proofErr w:type="spellStart"/>
            <w:r w:rsidRPr="002F2AE3">
              <w:rPr>
                <w:rFonts w:ascii="Times New Roman" w:hAnsi="Times New Roman" w:cs="Times New Roman"/>
                <w:sz w:val="24"/>
                <w:szCs w:val="24"/>
              </w:rPr>
              <w:t>đến</w:t>
            </w:r>
            <w:proofErr w:type="spellEnd"/>
            <w:r w:rsidRPr="002F2AE3">
              <w:rPr>
                <w:rFonts w:ascii="Times New Roman" w:hAnsi="Times New Roman" w:cs="Times New Roman"/>
                <w:sz w:val="24"/>
                <w:szCs w:val="24"/>
              </w:rPr>
              <w:t xml:space="preserve"> 80 </w:t>
            </w:r>
            <w:proofErr w:type="spellStart"/>
            <w:r w:rsidRPr="002F2AE3">
              <w:rPr>
                <w:rFonts w:ascii="Times New Roman" w:hAnsi="Times New Roman" w:cs="Times New Roman"/>
                <w:sz w:val="24"/>
                <w:szCs w:val="24"/>
              </w:rPr>
              <w:t>trđ</w:t>
            </w:r>
            <w:proofErr w:type="spellEnd"/>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30%</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9,75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+ 30% TNTT </w:t>
            </w: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52 </w:t>
            </w:r>
            <w:proofErr w:type="spellStart"/>
            <w:r w:rsidRPr="002F2AE3">
              <w:rPr>
                <w:rFonts w:ascii="Times New Roman" w:hAnsi="Times New Roman" w:cs="Times New Roman"/>
                <w:sz w:val="24"/>
                <w:szCs w:val="24"/>
              </w:rPr>
              <w:t>trđ</w:t>
            </w:r>
            <w:proofErr w:type="spellEnd"/>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30 % TNTT - 5,85 </w:t>
            </w:r>
            <w:proofErr w:type="spellStart"/>
            <w:r w:rsidRPr="002F2AE3">
              <w:rPr>
                <w:rFonts w:ascii="Times New Roman" w:hAnsi="Times New Roman" w:cs="Times New Roman"/>
                <w:sz w:val="24"/>
                <w:szCs w:val="24"/>
              </w:rPr>
              <w:t>trđ</w:t>
            </w:r>
            <w:proofErr w:type="spellEnd"/>
          </w:p>
        </w:tc>
      </w:tr>
      <w:tr w:rsidR="00972F15" w:rsidRPr="00FE311B" w:rsidTr="008E0EE8">
        <w:trPr>
          <w:trHeight w:val="332"/>
        </w:trPr>
        <w:tc>
          <w:tcPr>
            <w:tcW w:w="635"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7</w:t>
            </w:r>
          </w:p>
        </w:tc>
        <w:tc>
          <w:tcPr>
            <w:tcW w:w="2429" w:type="dxa"/>
            <w:vAlign w:val="center"/>
          </w:tcPr>
          <w:p w:rsidR="00972F15" w:rsidRPr="002F2AE3" w:rsidRDefault="00972F15" w:rsidP="008E0EE8">
            <w:pPr>
              <w:spacing w:after="0" w:line="336" w:lineRule="auto"/>
              <w:rPr>
                <w:rFonts w:ascii="Times New Roman" w:hAnsi="Times New Roman" w:cs="Times New Roman"/>
                <w:sz w:val="24"/>
                <w:szCs w:val="24"/>
              </w:rPr>
            </w:pP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80 </w:t>
            </w:r>
            <w:proofErr w:type="spellStart"/>
            <w:r w:rsidRPr="002F2AE3">
              <w:rPr>
                <w:rFonts w:ascii="Times New Roman" w:hAnsi="Times New Roman" w:cs="Times New Roman"/>
                <w:sz w:val="24"/>
                <w:szCs w:val="24"/>
              </w:rPr>
              <w:t>trđ</w:t>
            </w:r>
            <w:proofErr w:type="spellEnd"/>
          </w:p>
        </w:tc>
        <w:tc>
          <w:tcPr>
            <w:tcW w:w="81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35%</w:t>
            </w:r>
          </w:p>
        </w:tc>
        <w:tc>
          <w:tcPr>
            <w:tcW w:w="3596"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18,15 </w:t>
            </w:r>
            <w:proofErr w:type="spellStart"/>
            <w:r w:rsidRPr="002F2AE3">
              <w:rPr>
                <w:rFonts w:ascii="Times New Roman" w:hAnsi="Times New Roman" w:cs="Times New Roman"/>
                <w:sz w:val="24"/>
                <w:szCs w:val="24"/>
              </w:rPr>
              <w:t>trđ</w:t>
            </w:r>
            <w:proofErr w:type="spellEnd"/>
            <w:r w:rsidRPr="002F2AE3">
              <w:rPr>
                <w:rFonts w:ascii="Times New Roman" w:hAnsi="Times New Roman" w:cs="Times New Roman"/>
                <w:sz w:val="24"/>
                <w:szCs w:val="24"/>
              </w:rPr>
              <w:t xml:space="preserve"> + 35% TNTT </w:t>
            </w:r>
            <w:proofErr w:type="spellStart"/>
            <w:r w:rsidRPr="002F2AE3">
              <w:rPr>
                <w:rFonts w:ascii="Times New Roman" w:hAnsi="Times New Roman" w:cs="Times New Roman"/>
                <w:sz w:val="24"/>
                <w:szCs w:val="24"/>
              </w:rPr>
              <w:t>trên</w:t>
            </w:r>
            <w:proofErr w:type="spellEnd"/>
            <w:r w:rsidRPr="002F2AE3">
              <w:rPr>
                <w:rFonts w:ascii="Times New Roman" w:hAnsi="Times New Roman" w:cs="Times New Roman"/>
                <w:sz w:val="24"/>
                <w:szCs w:val="24"/>
              </w:rPr>
              <w:t xml:space="preserve"> 80 </w:t>
            </w:r>
            <w:proofErr w:type="spellStart"/>
            <w:r w:rsidRPr="002F2AE3">
              <w:rPr>
                <w:rFonts w:ascii="Times New Roman" w:hAnsi="Times New Roman" w:cs="Times New Roman"/>
                <w:sz w:val="24"/>
                <w:szCs w:val="24"/>
              </w:rPr>
              <w:t>trđ</w:t>
            </w:r>
            <w:proofErr w:type="spellEnd"/>
          </w:p>
        </w:tc>
        <w:tc>
          <w:tcPr>
            <w:tcW w:w="2340" w:type="dxa"/>
            <w:vAlign w:val="center"/>
          </w:tcPr>
          <w:p w:rsidR="00972F15" w:rsidRPr="002F2AE3" w:rsidRDefault="00972F15" w:rsidP="008E0EE8">
            <w:pPr>
              <w:spacing w:after="0" w:line="336" w:lineRule="auto"/>
              <w:jc w:val="center"/>
              <w:rPr>
                <w:rFonts w:ascii="Times New Roman" w:hAnsi="Times New Roman" w:cs="Times New Roman"/>
                <w:sz w:val="24"/>
                <w:szCs w:val="24"/>
              </w:rPr>
            </w:pPr>
            <w:r w:rsidRPr="002F2AE3">
              <w:rPr>
                <w:rFonts w:ascii="Times New Roman" w:hAnsi="Times New Roman" w:cs="Times New Roman"/>
                <w:sz w:val="24"/>
                <w:szCs w:val="24"/>
              </w:rPr>
              <w:t xml:space="preserve">35% TNTT - 9,85 </w:t>
            </w:r>
            <w:proofErr w:type="spellStart"/>
            <w:r w:rsidRPr="002F2AE3">
              <w:rPr>
                <w:rFonts w:ascii="Times New Roman" w:hAnsi="Times New Roman" w:cs="Times New Roman"/>
                <w:sz w:val="24"/>
                <w:szCs w:val="24"/>
              </w:rPr>
              <w:t>trđ</w:t>
            </w:r>
            <w:proofErr w:type="spellEnd"/>
          </w:p>
        </w:tc>
      </w:tr>
    </w:tbl>
    <w:p w:rsidR="00972F15" w:rsidRPr="00FE311B" w:rsidRDefault="00972F15" w:rsidP="00A97B3A">
      <w:pPr>
        <w:pStyle w:val="ListParagraph"/>
        <w:numPr>
          <w:ilvl w:val="2"/>
          <w:numId w:val="3"/>
        </w:numPr>
        <w:spacing w:before="120" w:after="120"/>
        <w:ind w:left="1714" w:right="-43"/>
        <w:jc w:val="both"/>
        <w:rPr>
          <w:rFonts w:ascii="Times New Roman" w:hAnsi="Times New Roman" w:cs="Times New Roman"/>
          <w:sz w:val="26"/>
          <w:szCs w:val="26"/>
          <w:lang w:val="nl-NL"/>
        </w:rPr>
      </w:pPr>
      <w:r w:rsidRPr="00FE311B">
        <w:rPr>
          <w:rFonts w:ascii="Times New Roman" w:hAnsi="Times New Roman" w:cs="Times New Roman"/>
          <w:b/>
          <w:sz w:val="26"/>
          <w:szCs w:val="26"/>
          <w:lang w:val="nl-NL"/>
        </w:rPr>
        <w:t>Công thức tính thuế TNCN</w:t>
      </w:r>
    </w:p>
    <w:p w:rsidR="00972F15" w:rsidRPr="00FE311B" w:rsidRDefault="00972F15" w:rsidP="00A97B3A">
      <w:pPr>
        <w:pStyle w:val="ListParagraph"/>
        <w:numPr>
          <w:ilvl w:val="0"/>
          <w:numId w:val="1"/>
        </w:numPr>
        <w:spacing w:before="120" w:after="12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Thuế TNCN phải nộp = Thu nhập tính thuế x Thuế suất</w:t>
      </w:r>
      <w:r>
        <w:rPr>
          <w:rFonts w:ascii="Times New Roman" w:hAnsi="Times New Roman" w:cs="Times New Roman"/>
          <w:sz w:val="26"/>
          <w:szCs w:val="26"/>
          <w:lang w:val="nl-NL"/>
        </w:rPr>
        <w:t xml:space="preserve"> (theo bi</w:t>
      </w:r>
      <w:r w:rsidRPr="0012448C">
        <w:rPr>
          <w:rFonts w:ascii="Times New Roman" w:hAnsi="Times New Roman" w:cs="Times New Roman"/>
          <w:sz w:val="26"/>
          <w:szCs w:val="26"/>
          <w:lang w:val="nl-NL"/>
        </w:rPr>
        <w:t>ể</w:t>
      </w:r>
      <w:r>
        <w:rPr>
          <w:rFonts w:ascii="Times New Roman" w:hAnsi="Times New Roman" w:cs="Times New Roman"/>
          <w:sz w:val="26"/>
          <w:szCs w:val="26"/>
          <w:lang w:val="nl-NL"/>
        </w:rPr>
        <w:t>u l</w:t>
      </w:r>
      <w:r w:rsidRPr="0012448C">
        <w:rPr>
          <w:rFonts w:ascii="Times New Roman" w:hAnsi="Times New Roman" w:cs="Times New Roman"/>
          <w:sz w:val="26"/>
          <w:szCs w:val="26"/>
          <w:lang w:val="nl-NL"/>
        </w:rPr>
        <w:t>ũy</w:t>
      </w:r>
      <w:r>
        <w:rPr>
          <w:rFonts w:ascii="Times New Roman" w:hAnsi="Times New Roman" w:cs="Times New Roman"/>
          <w:sz w:val="26"/>
          <w:szCs w:val="26"/>
          <w:lang w:val="nl-NL"/>
        </w:rPr>
        <w:t xml:space="preserve"> ti</w:t>
      </w:r>
      <w:r w:rsidRPr="0012448C">
        <w:rPr>
          <w:rFonts w:ascii="Times New Roman" w:hAnsi="Times New Roman" w:cs="Times New Roman"/>
          <w:sz w:val="26"/>
          <w:szCs w:val="26"/>
          <w:lang w:val="nl-NL"/>
        </w:rPr>
        <w:t>ến</w:t>
      </w:r>
      <w:r>
        <w:rPr>
          <w:rFonts w:ascii="Times New Roman" w:hAnsi="Times New Roman" w:cs="Times New Roman"/>
          <w:sz w:val="26"/>
          <w:szCs w:val="26"/>
          <w:lang w:val="nl-NL"/>
        </w:rPr>
        <w:t>)</w:t>
      </w:r>
    </w:p>
    <w:p w:rsidR="00972F15" w:rsidRPr="00FE311B" w:rsidRDefault="00972F15" w:rsidP="00A97B3A">
      <w:pPr>
        <w:pStyle w:val="ListParagraph"/>
        <w:numPr>
          <w:ilvl w:val="0"/>
          <w:numId w:val="1"/>
        </w:numPr>
        <w:spacing w:before="120" w:after="120"/>
        <w:ind w:left="0" w:firstLine="360"/>
        <w:contextualSpacing w:val="0"/>
        <w:jc w:val="both"/>
        <w:rPr>
          <w:rFonts w:ascii="Times New Roman" w:hAnsi="Times New Roman" w:cs="Times New Roman"/>
          <w:sz w:val="26"/>
          <w:szCs w:val="26"/>
          <w:lang w:val="nl-NL"/>
        </w:rPr>
      </w:pPr>
      <w:r w:rsidRPr="00FE311B">
        <w:rPr>
          <w:rFonts w:ascii="Times New Roman" w:hAnsi="Times New Roman" w:cs="Times New Roman"/>
          <w:sz w:val="26"/>
          <w:szCs w:val="26"/>
          <w:lang w:val="nl-NL"/>
        </w:rPr>
        <w:t>Trong đó:</w:t>
      </w:r>
      <w:bookmarkStart w:id="0" w:name="_GoBack"/>
      <w:bookmarkEnd w:id="0"/>
      <w:r w:rsidRPr="00FE311B">
        <w:rPr>
          <w:rFonts w:ascii="Times New Roman" w:hAnsi="Times New Roman" w:cs="Times New Roman"/>
          <w:sz w:val="26"/>
          <w:szCs w:val="26"/>
          <w:lang w:val="nl-NL"/>
        </w:rPr>
        <w:t xml:space="preserve"> Thu nhập tính thuế = Thu nhập chịu thuế - Các </w:t>
      </w:r>
      <w:r>
        <w:rPr>
          <w:rFonts w:ascii="Times New Roman" w:hAnsi="Times New Roman" w:cs="Times New Roman"/>
          <w:sz w:val="26"/>
          <w:szCs w:val="26"/>
          <w:lang w:val="nl-NL"/>
        </w:rPr>
        <w:t>k</w:t>
      </w:r>
      <w:r w:rsidRPr="00FE311B">
        <w:rPr>
          <w:rFonts w:ascii="Times New Roman" w:hAnsi="Times New Roman" w:cs="Times New Roman"/>
          <w:sz w:val="26"/>
          <w:szCs w:val="26"/>
          <w:lang w:val="nl-NL"/>
        </w:rPr>
        <w:t>hoản giảm trừ</w:t>
      </w:r>
      <w:r w:rsidR="0009477B">
        <w:rPr>
          <w:rFonts w:ascii="Times New Roman" w:hAnsi="Times New Roman" w:cs="Times New Roman"/>
          <w:sz w:val="26"/>
          <w:szCs w:val="26"/>
          <w:lang w:val="nl-NL"/>
        </w:rPr>
        <w:t>.</w:t>
      </w:r>
    </w:p>
    <w:sectPr w:rsidR="00972F15" w:rsidRPr="00FE311B" w:rsidSect="00276CB0">
      <w:pgSz w:w="11907" w:h="16839" w:code="9"/>
      <w:pgMar w:top="851" w:right="990" w:bottom="113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D3E" w:rsidRDefault="00D07D3E">
      <w:pPr>
        <w:spacing w:after="0" w:line="240" w:lineRule="auto"/>
      </w:pPr>
      <w:r>
        <w:separator/>
      </w:r>
    </w:p>
  </w:endnote>
  <w:endnote w:type="continuationSeparator" w:id="0">
    <w:p w:rsidR="00D07D3E" w:rsidRDefault="00D0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D3E" w:rsidRDefault="00D07D3E">
      <w:pPr>
        <w:spacing w:after="0" w:line="240" w:lineRule="auto"/>
      </w:pPr>
      <w:r>
        <w:separator/>
      </w:r>
    </w:p>
  </w:footnote>
  <w:footnote w:type="continuationSeparator" w:id="0">
    <w:p w:rsidR="00D07D3E" w:rsidRDefault="00D07D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734A4"/>
    <w:multiLevelType w:val="hybridMultilevel"/>
    <w:tmpl w:val="381838D6"/>
    <w:lvl w:ilvl="0" w:tplc="24F423F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3C6860"/>
    <w:multiLevelType w:val="hybridMultilevel"/>
    <w:tmpl w:val="15BE7D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E922BFC"/>
    <w:multiLevelType w:val="multilevel"/>
    <w:tmpl w:val="B37647CE"/>
    <w:lvl w:ilvl="0">
      <w:start w:val="1"/>
      <w:numFmt w:val="decimal"/>
      <w:lvlText w:val="%1."/>
      <w:lvlJc w:val="left"/>
      <w:pPr>
        <w:ind w:left="630" w:hanging="360"/>
      </w:pPr>
      <w:rPr>
        <w:rFonts w:hint="default"/>
        <w:b/>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b/>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15"/>
    <w:rsid w:val="0009477B"/>
    <w:rsid w:val="000C4FE1"/>
    <w:rsid w:val="001331D4"/>
    <w:rsid w:val="001D15CC"/>
    <w:rsid w:val="00280129"/>
    <w:rsid w:val="003D4E9E"/>
    <w:rsid w:val="004945C5"/>
    <w:rsid w:val="004D748D"/>
    <w:rsid w:val="004E6B90"/>
    <w:rsid w:val="00732CED"/>
    <w:rsid w:val="007D6A7E"/>
    <w:rsid w:val="00834EDC"/>
    <w:rsid w:val="00972F15"/>
    <w:rsid w:val="00A3551F"/>
    <w:rsid w:val="00A97B3A"/>
    <w:rsid w:val="00BD511C"/>
    <w:rsid w:val="00D07D3E"/>
    <w:rsid w:val="00ED1726"/>
    <w:rsid w:val="00ED3095"/>
    <w:rsid w:val="00F6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DAFC"/>
  <w15:chartTrackingRefBased/>
  <w15:docId w15:val="{1A6950DA-6545-4922-99A0-447A26D8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72F15"/>
    <w:pPr>
      <w:ind w:left="720"/>
      <w:contextualSpacing/>
    </w:pPr>
  </w:style>
  <w:style w:type="table" w:styleId="TableGrid">
    <w:name w:val="Table Grid"/>
    <w:basedOn w:val="TableNormal"/>
    <w:uiPriority w:val="59"/>
    <w:rsid w:val="0097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72F15"/>
  </w:style>
  <w:style w:type="paragraph" w:styleId="Footer">
    <w:name w:val="footer"/>
    <w:basedOn w:val="Normal"/>
    <w:link w:val="FooterChar"/>
    <w:unhideWhenUsed/>
    <w:rsid w:val="00972F15"/>
    <w:pPr>
      <w:tabs>
        <w:tab w:val="center" w:pos="4680"/>
        <w:tab w:val="right" w:pos="9360"/>
      </w:tabs>
      <w:spacing w:after="0" w:line="240" w:lineRule="auto"/>
    </w:pPr>
  </w:style>
  <w:style w:type="character" w:customStyle="1" w:styleId="FooterChar">
    <w:name w:val="Footer Char"/>
    <w:basedOn w:val="DefaultParagraphFont"/>
    <w:link w:val="Footer"/>
    <w:rsid w:val="00972F15"/>
  </w:style>
  <w:style w:type="character" w:styleId="PageNumber">
    <w:name w:val="page number"/>
    <w:basedOn w:val="DefaultParagraphFont"/>
    <w:rsid w:val="00972F15"/>
  </w:style>
  <w:style w:type="paragraph" w:styleId="Header">
    <w:name w:val="header"/>
    <w:basedOn w:val="Normal"/>
    <w:link w:val="HeaderChar"/>
    <w:uiPriority w:val="99"/>
    <w:unhideWhenUsed/>
    <w:rsid w:val="00094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Thương Trâm_P.ĐBCL</dc:creator>
  <cp:keywords/>
  <dc:description/>
  <cp:lastModifiedBy>MSTRAM</cp:lastModifiedBy>
  <cp:revision>8</cp:revision>
  <dcterms:created xsi:type="dcterms:W3CDTF">2020-06-02T03:43:00Z</dcterms:created>
  <dcterms:modified xsi:type="dcterms:W3CDTF">2020-07-07T02:19:00Z</dcterms:modified>
</cp:coreProperties>
</file>